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AB3F" w14:textId="32A4ACD0" w:rsidR="00BF2E56" w:rsidRPr="00C75EDB" w:rsidRDefault="0075308F">
      <w:pPr>
        <w:spacing w:before="80"/>
        <w:ind w:right="273"/>
        <w:jc w:val="right"/>
        <w:rPr>
          <w:b/>
          <w:iCs/>
        </w:rPr>
      </w:pPr>
      <w:r w:rsidRPr="00C75EDB">
        <w:rPr>
          <w:b/>
          <w:iCs/>
        </w:rPr>
        <w:t xml:space="preserve">Allegato A </w:t>
      </w:r>
      <w:r w:rsidR="00013AAE">
        <w:rPr>
          <w:b/>
          <w:iCs/>
        </w:rPr>
        <w:t>5</w:t>
      </w:r>
      <w:r w:rsidR="00855BE6">
        <w:rPr>
          <w:b/>
          <w:iCs/>
        </w:rPr>
        <w:t>.1</w:t>
      </w:r>
    </w:p>
    <w:p w14:paraId="62A5702B" w14:textId="77777777" w:rsidR="00BF2E56" w:rsidRDefault="00BF2E56">
      <w:pPr>
        <w:pStyle w:val="Corpotesto"/>
        <w:rPr>
          <w:b/>
          <w:i/>
          <w:sz w:val="22"/>
        </w:rPr>
      </w:pPr>
    </w:p>
    <w:p w14:paraId="26C33BD6" w14:textId="77777777" w:rsidR="008C6FB9" w:rsidRDefault="008C6FB9" w:rsidP="008C6FB9">
      <w:pPr>
        <w:spacing w:before="40"/>
        <w:ind w:right="23"/>
        <w:jc w:val="both"/>
        <w:rPr>
          <w:rFonts w:eastAsia="Calibri"/>
          <w:u w:val="single"/>
          <w:lang w:bidi="ar-SA"/>
        </w:rPr>
      </w:pPr>
      <w:r>
        <w:rPr>
          <w:u w:val="single"/>
        </w:rPr>
        <w:t xml:space="preserve">Il presente allegato del bando </w:t>
      </w:r>
      <w:proofErr w:type="gramStart"/>
      <w:r>
        <w:rPr>
          <w:u w:val="single"/>
        </w:rPr>
        <w:t>dell’ Azione</w:t>
      </w:r>
      <w:proofErr w:type="gramEnd"/>
      <w:r>
        <w:rPr>
          <w:u w:val="single"/>
        </w:rPr>
        <w:t xml:space="preserve"> 19.2.1.05 “</w:t>
      </w:r>
      <w:r w:rsidRPr="00AE0DF5">
        <w:rPr>
          <w:i/>
          <w:iCs/>
          <w:u w:val="single"/>
        </w:rPr>
        <w:t>Sostegno a investimenti per il miglioramento delle prestazioni e della sostenibilità globale delle aziende agricole</w:t>
      </w:r>
      <w:r>
        <w:rPr>
          <w:u w:val="single"/>
        </w:rPr>
        <w:t xml:space="preserve">”. è tratto dall’avviso pubblico della Mis 4.1.1 del PSR 2014-2020 per l’Umbria. </w:t>
      </w:r>
    </w:p>
    <w:p w14:paraId="17019CB6" w14:textId="77777777" w:rsidR="008C6FB9" w:rsidRDefault="008C6FB9">
      <w:pPr>
        <w:spacing w:before="139"/>
        <w:ind w:left="106"/>
        <w:rPr>
          <w:b/>
        </w:rPr>
      </w:pPr>
    </w:p>
    <w:p w14:paraId="0C189971" w14:textId="77777777" w:rsidR="008C6FB9" w:rsidRDefault="008C6FB9">
      <w:pPr>
        <w:spacing w:before="139"/>
        <w:ind w:left="106"/>
        <w:rPr>
          <w:b/>
        </w:rPr>
      </w:pPr>
    </w:p>
    <w:p w14:paraId="7FCD0B1E" w14:textId="33E5A5DB" w:rsidR="00BF2E56" w:rsidRDefault="0075308F">
      <w:pPr>
        <w:spacing w:before="139"/>
        <w:ind w:left="106"/>
        <w:rPr>
          <w:b/>
        </w:rPr>
      </w:pPr>
      <w:r>
        <w:rPr>
          <w:b/>
        </w:rPr>
        <w:t>DETERMINAZIONE DELLA RAGIONEVOLEZZA DELLE SPESE GENERALI E TECNICHE</w:t>
      </w:r>
    </w:p>
    <w:p w14:paraId="78307482" w14:textId="77777777" w:rsidR="00BF2E56" w:rsidRDefault="00BF2E56">
      <w:pPr>
        <w:pStyle w:val="Corpotesto"/>
        <w:spacing w:before="10"/>
        <w:rPr>
          <w:b/>
          <w:sz w:val="22"/>
        </w:rPr>
      </w:pPr>
    </w:p>
    <w:p w14:paraId="525BC869" w14:textId="77777777" w:rsidR="005B5E8E" w:rsidRDefault="005B5E8E">
      <w:pPr>
        <w:pStyle w:val="Corpotesto"/>
        <w:ind w:left="370" w:right="130"/>
        <w:jc w:val="both"/>
      </w:pPr>
    </w:p>
    <w:p w14:paraId="55D29095" w14:textId="77777777" w:rsidR="005B5E8E" w:rsidRDefault="005B5E8E">
      <w:pPr>
        <w:pStyle w:val="Corpotesto"/>
        <w:ind w:left="370" w:right="130"/>
        <w:jc w:val="both"/>
      </w:pPr>
    </w:p>
    <w:p w14:paraId="75F28DBE" w14:textId="26243358" w:rsidR="00BF2E56" w:rsidRDefault="0075308F">
      <w:pPr>
        <w:pStyle w:val="Corpotesto"/>
        <w:ind w:left="370" w:right="130"/>
        <w:jc w:val="both"/>
      </w:pPr>
      <w:r>
        <w:t>Per le spese generali sono stabiliti i seguenti tetti massimi di spesa riferita ai costi ammissibili degli investimenti immobiliari:</w:t>
      </w:r>
    </w:p>
    <w:p w14:paraId="7534AF3A" w14:textId="6078A916" w:rsidR="00BF2E56" w:rsidRDefault="00BF2E56">
      <w:pPr>
        <w:pStyle w:val="Corpotesto"/>
        <w:spacing w:before="7"/>
        <w:rPr>
          <w:sz w:val="22"/>
        </w:rPr>
      </w:pPr>
    </w:p>
    <w:p w14:paraId="0FFB9B05" w14:textId="4276C31E" w:rsidR="005B5E8E" w:rsidRDefault="005B5E8E">
      <w:pPr>
        <w:pStyle w:val="Corpotesto"/>
        <w:spacing w:before="7"/>
        <w:rPr>
          <w:sz w:val="22"/>
        </w:rPr>
      </w:pPr>
    </w:p>
    <w:p w14:paraId="6128277E" w14:textId="5C80058E" w:rsidR="005B5E8E" w:rsidRDefault="005B5E8E">
      <w:pPr>
        <w:pStyle w:val="Corpotesto"/>
        <w:spacing w:before="7"/>
        <w:rPr>
          <w:sz w:val="22"/>
        </w:rPr>
      </w:pPr>
    </w:p>
    <w:p w14:paraId="3662114C" w14:textId="77777777" w:rsidR="005B5E8E" w:rsidRDefault="005B5E8E">
      <w:pPr>
        <w:pStyle w:val="Corpotesto"/>
        <w:spacing w:before="7"/>
        <w:rPr>
          <w:sz w:val="22"/>
        </w:rPr>
      </w:pPr>
    </w:p>
    <w:tbl>
      <w:tblPr>
        <w:tblStyle w:val="TableNormal"/>
        <w:tblW w:w="0" w:type="auto"/>
        <w:tblInd w:w="2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4"/>
        <w:gridCol w:w="1833"/>
      </w:tblGrid>
      <w:tr w:rsidR="00BF2E56" w14:paraId="40C044E2" w14:textId="77777777">
        <w:trPr>
          <w:trHeight w:val="695"/>
        </w:trPr>
        <w:tc>
          <w:tcPr>
            <w:tcW w:w="3554" w:type="dxa"/>
            <w:shd w:val="clear" w:color="auto" w:fill="FAD3B4"/>
          </w:tcPr>
          <w:p w14:paraId="013331FF" w14:textId="77777777" w:rsidR="00BF2E56" w:rsidRDefault="0075308F">
            <w:pPr>
              <w:pStyle w:val="TableParagraph"/>
              <w:spacing w:before="110"/>
              <w:ind w:left="1245" w:right="259" w:hanging="948"/>
              <w:rPr>
                <w:b/>
                <w:sz w:val="20"/>
              </w:rPr>
            </w:pPr>
            <w:r>
              <w:rPr>
                <w:b/>
                <w:sz w:val="20"/>
              </w:rPr>
              <w:t>costi ammessi per investimenti immobiliari</w:t>
            </w:r>
          </w:p>
        </w:tc>
        <w:tc>
          <w:tcPr>
            <w:tcW w:w="1833" w:type="dxa"/>
            <w:shd w:val="clear" w:color="auto" w:fill="FAD3B4"/>
          </w:tcPr>
          <w:p w14:paraId="2411A2BC" w14:textId="77777777" w:rsidR="00BF2E56" w:rsidRDefault="00BF2E56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14:paraId="539CC862" w14:textId="77777777" w:rsidR="00BF2E56" w:rsidRDefault="0075308F">
            <w:pPr>
              <w:pStyle w:val="TableParagraph"/>
              <w:spacing w:before="0"/>
              <w:ind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 spese generali</w:t>
            </w:r>
          </w:p>
        </w:tc>
      </w:tr>
      <w:tr w:rsidR="00BF2E56" w14:paraId="1BAFFC5F" w14:textId="77777777">
        <w:trPr>
          <w:trHeight w:val="299"/>
        </w:trPr>
        <w:tc>
          <w:tcPr>
            <w:tcW w:w="3554" w:type="dxa"/>
          </w:tcPr>
          <w:p w14:paraId="2B1F7C34" w14:textId="77777777" w:rsidR="00BF2E56" w:rsidRDefault="0075308F">
            <w:pPr>
              <w:pStyle w:val="TableParagraph"/>
              <w:ind w:left="1115"/>
              <w:rPr>
                <w:sz w:val="20"/>
              </w:rPr>
            </w:pPr>
            <w:r>
              <w:rPr>
                <w:sz w:val="20"/>
              </w:rPr>
              <w:t>Fino a 25.822,84</w:t>
            </w:r>
          </w:p>
        </w:tc>
        <w:tc>
          <w:tcPr>
            <w:tcW w:w="1833" w:type="dxa"/>
          </w:tcPr>
          <w:p w14:paraId="71EC9228" w14:textId="77777777" w:rsidR="00BF2E56" w:rsidRDefault="0075308F">
            <w:pPr>
              <w:pStyle w:val="TableParagraph"/>
              <w:ind w:right="41"/>
              <w:jc w:val="center"/>
              <w:rPr>
                <w:sz w:val="20"/>
              </w:rPr>
            </w:pPr>
            <w:r>
              <w:rPr>
                <w:sz w:val="20"/>
              </w:rPr>
              <w:t>12%</w:t>
            </w:r>
          </w:p>
        </w:tc>
      </w:tr>
      <w:tr w:rsidR="00BF2E56" w14:paraId="26C16999" w14:textId="77777777">
        <w:trPr>
          <w:trHeight w:val="297"/>
        </w:trPr>
        <w:tc>
          <w:tcPr>
            <w:tcW w:w="3554" w:type="dxa"/>
          </w:tcPr>
          <w:p w14:paraId="49719B75" w14:textId="77777777" w:rsidR="00BF2E56" w:rsidRDefault="0075308F">
            <w:pPr>
              <w:pStyle w:val="TableParagraph"/>
              <w:tabs>
                <w:tab w:val="left" w:pos="1646"/>
                <w:tab w:val="left" w:pos="2082"/>
              </w:tabs>
              <w:spacing w:before="28"/>
              <w:ind w:left="78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25.822,84</w:t>
            </w:r>
            <w:r>
              <w:rPr>
                <w:sz w:val="20"/>
              </w:rPr>
              <w:tab/>
              <w:t>≤</w:t>
            </w:r>
            <w:r>
              <w:rPr>
                <w:sz w:val="20"/>
              </w:rPr>
              <w:tab/>
              <w:t>51.645,69</w:t>
            </w:r>
          </w:p>
        </w:tc>
        <w:tc>
          <w:tcPr>
            <w:tcW w:w="1833" w:type="dxa"/>
          </w:tcPr>
          <w:p w14:paraId="2665B444" w14:textId="77777777" w:rsidR="00BF2E56" w:rsidRDefault="0075308F">
            <w:pPr>
              <w:pStyle w:val="TableParagraph"/>
              <w:spacing w:before="28"/>
              <w:ind w:right="41"/>
              <w:jc w:val="center"/>
              <w:rPr>
                <w:sz w:val="20"/>
              </w:rPr>
            </w:pPr>
            <w:r>
              <w:rPr>
                <w:sz w:val="20"/>
              </w:rPr>
              <w:t>11,10%</w:t>
            </w:r>
          </w:p>
        </w:tc>
      </w:tr>
      <w:tr w:rsidR="00BF2E56" w14:paraId="7D354EEE" w14:textId="77777777">
        <w:trPr>
          <w:trHeight w:val="299"/>
        </w:trPr>
        <w:tc>
          <w:tcPr>
            <w:tcW w:w="3554" w:type="dxa"/>
          </w:tcPr>
          <w:p w14:paraId="64FCE4B4" w14:textId="77777777" w:rsidR="00BF2E56" w:rsidRDefault="0075308F">
            <w:pPr>
              <w:pStyle w:val="TableParagraph"/>
              <w:tabs>
                <w:tab w:val="left" w:pos="1646"/>
                <w:tab w:val="left" w:pos="2030"/>
              </w:tabs>
              <w:spacing w:before="30"/>
              <w:ind w:left="78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51.645,69</w:t>
            </w:r>
            <w:r>
              <w:rPr>
                <w:sz w:val="20"/>
              </w:rPr>
              <w:tab/>
              <w:t>≤</w:t>
            </w:r>
            <w:r>
              <w:rPr>
                <w:sz w:val="20"/>
              </w:rPr>
              <w:tab/>
              <w:t>103.291,38</w:t>
            </w:r>
          </w:p>
        </w:tc>
        <w:tc>
          <w:tcPr>
            <w:tcW w:w="1833" w:type="dxa"/>
          </w:tcPr>
          <w:p w14:paraId="54DEAA3A" w14:textId="77777777" w:rsidR="00BF2E56" w:rsidRDefault="0075308F">
            <w:pPr>
              <w:pStyle w:val="TableParagraph"/>
              <w:spacing w:before="30"/>
              <w:ind w:right="43"/>
              <w:jc w:val="center"/>
              <w:rPr>
                <w:sz w:val="20"/>
              </w:rPr>
            </w:pPr>
            <w:r>
              <w:rPr>
                <w:sz w:val="20"/>
              </w:rPr>
              <w:t>9,80%</w:t>
            </w:r>
          </w:p>
        </w:tc>
      </w:tr>
      <w:tr w:rsidR="00BF2E56" w14:paraId="15681980" w14:textId="77777777">
        <w:trPr>
          <w:trHeight w:val="297"/>
        </w:trPr>
        <w:tc>
          <w:tcPr>
            <w:tcW w:w="3554" w:type="dxa"/>
          </w:tcPr>
          <w:p w14:paraId="0121F4D4" w14:textId="77777777" w:rsidR="00BF2E56" w:rsidRDefault="0075308F">
            <w:pPr>
              <w:pStyle w:val="TableParagraph"/>
              <w:tabs>
                <w:tab w:val="left" w:pos="1646"/>
                <w:tab w:val="left" w:pos="2030"/>
              </w:tabs>
              <w:spacing w:before="28"/>
              <w:ind w:left="78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103.291,38</w:t>
            </w:r>
            <w:r>
              <w:rPr>
                <w:sz w:val="20"/>
              </w:rPr>
              <w:tab/>
              <w:t>≤</w:t>
            </w:r>
            <w:r>
              <w:rPr>
                <w:sz w:val="20"/>
              </w:rPr>
              <w:tab/>
              <w:t>258.228,45</w:t>
            </w:r>
          </w:p>
        </w:tc>
        <w:tc>
          <w:tcPr>
            <w:tcW w:w="1833" w:type="dxa"/>
          </w:tcPr>
          <w:p w14:paraId="0EBA1FF1" w14:textId="77777777" w:rsidR="00BF2E56" w:rsidRDefault="0075308F">
            <w:pPr>
              <w:pStyle w:val="TableParagraph"/>
              <w:spacing w:before="28"/>
              <w:ind w:right="43"/>
              <w:jc w:val="center"/>
              <w:rPr>
                <w:sz w:val="20"/>
              </w:rPr>
            </w:pPr>
            <w:r>
              <w:rPr>
                <w:sz w:val="20"/>
              </w:rPr>
              <w:t>8,30%</w:t>
            </w:r>
          </w:p>
        </w:tc>
      </w:tr>
      <w:tr w:rsidR="00BF2E56" w14:paraId="769B74B7" w14:textId="77777777">
        <w:trPr>
          <w:trHeight w:val="302"/>
        </w:trPr>
        <w:tc>
          <w:tcPr>
            <w:tcW w:w="3554" w:type="dxa"/>
          </w:tcPr>
          <w:p w14:paraId="55A70446" w14:textId="77777777" w:rsidR="00BF2E56" w:rsidRDefault="0075308F">
            <w:pPr>
              <w:pStyle w:val="TableParagraph"/>
              <w:tabs>
                <w:tab w:val="left" w:pos="1646"/>
                <w:tab w:val="left" w:pos="2030"/>
              </w:tabs>
              <w:spacing w:before="30"/>
              <w:ind w:left="78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258.228,45</w:t>
            </w:r>
            <w:r>
              <w:rPr>
                <w:sz w:val="20"/>
              </w:rPr>
              <w:tab/>
              <w:t>≤</w:t>
            </w:r>
            <w:r>
              <w:rPr>
                <w:sz w:val="20"/>
              </w:rPr>
              <w:tab/>
              <w:t>516.456,90</w:t>
            </w:r>
          </w:p>
        </w:tc>
        <w:tc>
          <w:tcPr>
            <w:tcW w:w="1833" w:type="dxa"/>
          </w:tcPr>
          <w:p w14:paraId="035BDF8A" w14:textId="77777777" w:rsidR="00BF2E56" w:rsidRDefault="0075308F">
            <w:pPr>
              <w:pStyle w:val="TableParagraph"/>
              <w:spacing w:before="30"/>
              <w:ind w:right="43"/>
              <w:jc w:val="center"/>
              <w:rPr>
                <w:sz w:val="20"/>
              </w:rPr>
            </w:pPr>
            <w:r>
              <w:rPr>
                <w:sz w:val="20"/>
              </w:rPr>
              <w:t>7,40%</w:t>
            </w:r>
          </w:p>
        </w:tc>
      </w:tr>
      <w:tr w:rsidR="00BF2E56" w14:paraId="0F7E4E1E" w14:textId="77777777">
        <w:trPr>
          <w:trHeight w:val="299"/>
        </w:trPr>
        <w:tc>
          <w:tcPr>
            <w:tcW w:w="3554" w:type="dxa"/>
          </w:tcPr>
          <w:p w14:paraId="44D98A8A" w14:textId="77777777" w:rsidR="00BF2E56" w:rsidRDefault="0075308F">
            <w:pPr>
              <w:pStyle w:val="TableParagraph"/>
              <w:tabs>
                <w:tab w:val="left" w:pos="1646"/>
              </w:tabs>
              <w:ind w:left="78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516.456,90</w:t>
            </w:r>
            <w:r>
              <w:rPr>
                <w:sz w:val="20"/>
              </w:rPr>
              <w:tab/>
              <w:t>≤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1.032.913,80</w:t>
            </w:r>
          </w:p>
        </w:tc>
        <w:tc>
          <w:tcPr>
            <w:tcW w:w="1833" w:type="dxa"/>
          </w:tcPr>
          <w:p w14:paraId="68A4A5EC" w14:textId="77777777" w:rsidR="00BF2E56" w:rsidRDefault="0075308F">
            <w:pPr>
              <w:pStyle w:val="TableParagraph"/>
              <w:ind w:right="43"/>
              <w:jc w:val="center"/>
              <w:rPr>
                <w:sz w:val="20"/>
              </w:rPr>
            </w:pPr>
            <w:r>
              <w:rPr>
                <w:sz w:val="20"/>
              </w:rPr>
              <w:t>6,50%</w:t>
            </w:r>
          </w:p>
        </w:tc>
      </w:tr>
      <w:tr w:rsidR="00BF2E56" w14:paraId="7CD8D434" w14:textId="77777777">
        <w:trPr>
          <w:trHeight w:val="297"/>
        </w:trPr>
        <w:tc>
          <w:tcPr>
            <w:tcW w:w="3554" w:type="dxa"/>
          </w:tcPr>
          <w:p w14:paraId="7B878047" w14:textId="77777777" w:rsidR="00BF2E56" w:rsidRDefault="0075308F">
            <w:pPr>
              <w:pStyle w:val="TableParagraph"/>
              <w:tabs>
                <w:tab w:val="left" w:pos="1646"/>
              </w:tabs>
              <w:ind w:left="78"/>
              <w:rPr>
                <w:sz w:val="20"/>
              </w:rPr>
            </w:pPr>
            <w:r>
              <w:rPr>
                <w:sz w:val="20"/>
              </w:rPr>
              <w:t>&gt;1.032.913,80</w:t>
            </w:r>
            <w:r>
              <w:rPr>
                <w:sz w:val="20"/>
              </w:rPr>
              <w:tab/>
              <w:t>≤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2.582.284,50</w:t>
            </w:r>
          </w:p>
        </w:tc>
        <w:tc>
          <w:tcPr>
            <w:tcW w:w="1833" w:type="dxa"/>
          </w:tcPr>
          <w:p w14:paraId="18512A84" w14:textId="77777777" w:rsidR="00BF2E56" w:rsidRDefault="0075308F">
            <w:pPr>
              <w:pStyle w:val="TableParagraph"/>
              <w:ind w:right="43"/>
              <w:jc w:val="center"/>
              <w:rPr>
                <w:sz w:val="20"/>
              </w:rPr>
            </w:pPr>
            <w:r>
              <w:rPr>
                <w:sz w:val="20"/>
              </w:rPr>
              <w:t>5,60%</w:t>
            </w:r>
          </w:p>
        </w:tc>
      </w:tr>
      <w:tr w:rsidR="00BF2E56" w14:paraId="4EB5DC21" w14:textId="77777777">
        <w:trPr>
          <w:trHeight w:val="299"/>
        </w:trPr>
        <w:tc>
          <w:tcPr>
            <w:tcW w:w="3554" w:type="dxa"/>
          </w:tcPr>
          <w:p w14:paraId="2551CF52" w14:textId="77777777" w:rsidR="00BF2E56" w:rsidRDefault="0075308F">
            <w:pPr>
              <w:pStyle w:val="TableParagraph"/>
              <w:spacing w:before="30"/>
              <w:ind w:left="1139"/>
              <w:rPr>
                <w:sz w:val="20"/>
              </w:rPr>
            </w:pPr>
            <w:r>
              <w:rPr>
                <w:sz w:val="20"/>
              </w:rPr>
              <w:t>&gt;2.582.284,50</w:t>
            </w:r>
          </w:p>
        </w:tc>
        <w:tc>
          <w:tcPr>
            <w:tcW w:w="1833" w:type="dxa"/>
          </w:tcPr>
          <w:p w14:paraId="4E8B3D27" w14:textId="77777777" w:rsidR="00BF2E56" w:rsidRDefault="0075308F">
            <w:pPr>
              <w:pStyle w:val="TableParagraph"/>
              <w:spacing w:before="30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</w:tr>
    </w:tbl>
    <w:p w14:paraId="31CACB76" w14:textId="77777777" w:rsidR="00BF2E56" w:rsidRDefault="00BF2E56">
      <w:pPr>
        <w:pStyle w:val="Corpotesto"/>
        <w:spacing w:before="2"/>
        <w:rPr>
          <w:sz w:val="21"/>
        </w:rPr>
      </w:pPr>
    </w:p>
    <w:p w14:paraId="09B4C731" w14:textId="77777777" w:rsidR="005B5E8E" w:rsidRDefault="005B5E8E">
      <w:pPr>
        <w:pStyle w:val="Corpotesto"/>
        <w:spacing w:before="1"/>
        <w:ind w:left="370" w:right="128"/>
        <w:jc w:val="both"/>
      </w:pPr>
    </w:p>
    <w:p w14:paraId="777B4EE1" w14:textId="77777777" w:rsidR="005B5E8E" w:rsidRDefault="005B5E8E">
      <w:pPr>
        <w:pStyle w:val="Corpotesto"/>
        <w:spacing w:before="1"/>
        <w:ind w:left="370" w:right="128"/>
        <w:jc w:val="both"/>
      </w:pPr>
    </w:p>
    <w:p w14:paraId="7360B7D0" w14:textId="77777777" w:rsidR="005B5E8E" w:rsidRDefault="005B5E8E">
      <w:pPr>
        <w:pStyle w:val="Corpotesto"/>
        <w:spacing w:before="1"/>
        <w:ind w:left="370" w:right="128"/>
        <w:jc w:val="both"/>
      </w:pPr>
    </w:p>
    <w:p w14:paraId="15D71F56" w14:textId="508E04F3" w:rsidR="009A306F" w:rsidRPr="005B5E8E" w:rsidRDefault="009A306F">
      <w:pPr>
        <w:pStyle w:val="Corpotesto"/>
        <w:spacing w:before="1"/>
        <w:ind w:left="370" w:right="128"/>
        <w:jc w:val="both"/>
      </w:pPr>
      <w:r w:rsidRPr="005B5E8E">
        <w:t>Per gli investimenti immobiliari</w:t>
      </w:r>
      <w:r w:rsidR="006D46FA" w:rsidRPr="005B5E8E">
        <w:t xml:space="preserve">, a partire dal secondo scaglione in poi, le aliquote si applicano solo sulla parte di spesa che eccede quella dello scaglione precedente </w:t>
      </w:r>
      <w:r w:rsidRPr="005B5E8E">
        <w:t xml:space="preserve"> </w:t>
      </w:r>
    </w:p>
    <w:p w14:paraId="04CEEC04" w14:textId="77777777" w:rsidR="00506E02" w:rsidRDefault="00506E02">
      <w:pPr>
        <w:pStyle w:val="Corpotesto"/>
        <w:spacing w:before="1"/>
        <w:ind w:left="370" w:right="128"/>
        <w:jc w:val="both"/>
      </w:pPr>
    </w:p>
    <w:p w14:paraId="4BEC2FCE" w14:textId="78D9E3D5" w:rsidR="00BF2E56" w:rsidRDefault="0075308F">
      <w:pPr>
        <w:pStyle w:val="Corpotesto"/>
        <w:spacing w:before="1"/>
        <w:ind w:left="370" w:right="128"/>
        <w:jc w:val="both"/>
      </w:pPr>
      <w:r>
        <w:t>Per gli investimenti mobiliari e fissi per destinazione il tetto massimo di spesa ammissibile non può eccedere il 3% della spesa ammessa.</w:t>
      </w:r>
    </w:p>
    <w:p w14:paraId="3EF2C5AE" w14:textId="77777777" w:rsidR="00BF2E56" w:rsidRDefault="0075308F">
      <w:pPr>
        <w:pStyle w:val="Corpotesto"/>
        <w:spacing w:before="8" w:line="276" w:lineRule="auto"/>
        <w:ind w:left="370" w:right="113"/>
        <w:jc w:val="both"/>
      </w:pPr>
      <w:r>
        <w:t>Con la domanda di pagamento il beneficiario dovrà allegare, oltre alle fatture ed ai relativi bonifici, tanti prospetti per quanti sono i diversi professionisti intervenuti nella realizzazione del programma d’investimenti. Verrà ritenuto spesa ammissibile il minor valore tra l’importo della fattura e quello risultante dall’applicazione delle percentuali dei tetti massimi esplicitate ai punti che precedono.</w:t>
      </w:r>
    </w:p>
    <w:p w14:paraId="029687DF" w14:textId="77777777" w:rsidR="00BF2E56" w:rsidRDefault="0075308F">
      <w:pPr>
        <w:pStyle w:val="Corpotesto"/>
        <w:spacing w:line="278" w:lineRule="auto"/>
        <w:ind w:left="370" w:right="133"/>
        <w:jc w:val="both"/>
      </w:pPr>
      <w:r>
        <w:t>In ogni caso non sono ammissibili come spese generali le prestazioni di dipendenti o collaboratori assunti con contratti di qualunque genere. Sono comunque escluse spese non documentabili con fattura.</w:t>
      </w:r>
    </w:p>
    <w:sectPr w:rsidR="00BF2E56" w:rsidSect="00BF2E56">
      <w:type w:val="continuous"/>
      <w:pgSz w:w="11900" w:h="16840"/>
      <w:pgMar w:top="1600" w:right="10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56"/>
    <w:rsid w:val="00013AAE"/>
    <w:rsid w:val="001D2D2B"/>
    <w:rsid w:val="00506E02"/>
    <w:rsid w:val="005B5E8E"/>
    <w:rsid w:val="006D46FA"/>
    <w:rsid w:val="0075308F"/>
    <w:rsid w:val="00790262"/>
    <w:rsid w:val="00855BE6"/>
    <w:rsid w:val="008C6FB9"/>
    <w:rsid w:val="009A306F"/>
    <w:rsid w:val="00B949B6"/>
    <w:rsid w:val="00BF2E56"/>
    <w:rsid w:val="00C75EDB"/>
    <w:rsid w:val="00DF4213"/>
    <w:rsid w:val="00EB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4DC3"/>
  <w15:docId w15:val="{B9A982AD-D468-4A86-B510-D39BCE6B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F2E56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2E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F2E56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BF2E56"/>
  </w:style>
  <w:style w:type="paragraph" w:customStyle="1" w:styleId="TableParagraph">
    <w:name w:val="Table Paragraph"/>
    <w:basedOn w:val="Normale"/>
    <w:uiPriority w:val="1"/>
    <w:qFormat/>
    <w:rsid w:val="00BF2E56"/>
    <w:pPr>
      <w:spacing w:before="26"/>
      <w:ind w:left="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- 3_allegati bando 4_1 _ultima._21_05_2019.doc</vt:lpstr>
    </vt:vector>
  </TitlesOfParts>
  <Company>HP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- 3_allegati bando 4_1 _ultima._21_05_2019.doc</dc:title>
  <dc:creator>sfabrizi</dc:creator>
  <cp:lastModifiedBy>David Fongoli</cp:lastModifiedBy>
  <cp:revision>5</cp:revision>
  <dcterms:created xsi:type="dcterms:W3CDTF">2020-09-02T14:20:00Z</dcterms:created>
  <dcterms:modified xsi:type="dcterms:W3CDTF">2021-10-07T13:01:00Z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2020-04-17T00:00:00Z</vt:filetime>
  </property>
</Properties>
</file>